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978936">
      <w:pPr>
        <w:spacing w:line="560" w:lineRule="exact"/>
        <w:ind w:firstLine="560" w:firstLineChars="200"/>
        <w:rPr>
          <w:rFonts w:ascii="黑体" w:hAnsi="黑体" w:eastAsia="黑体" w:cs="黑体"/>
          <w:bCs/>
          <w:color w:val="000000"/>
          <w:kern w:val="0"/>
          <w:sz w:val="28"/>
          <w:szCs w:val="28"/>
          <w:highlight w:val="none"/>
        </w:rPr>
      </w:pPr>
      <w:r>
        <w:rPr>
          <w:rFonts w:hint="eastAsia" w:ascii="黑体" w:hAnsi="黑体" w:eastAsia="黑体" w:cs="黑体"/>
          <w:bCs/>
          <w:color w:val="000000"/>
          <w:kern w:val="0"/>
          <w:sz w:val="28"/>
          <w:szCs w:val="28"/>
          <w:highlight w:val="none"/>
          <w:lang w:eastAsia="zh-CN"/>
        </w:rPr>
        <w:t>经营标的</w:t>
      </w:r>
      <w:r>
        <w:rPr>
          <w:rFonts w:hint="eastAsia" w:ascii="黑体" w:hAnsi="黑体" w:eastAsia="黑体" w:cs="黑体"/>
          <w:bCs/>
          <w:color w:val="000000"/>
          <w:kern w:val="0"/>
          <w:sz w:val="28"/>
          <w:szCs w:val="28"/>
          <w:highlight w:val="none"/>
        </w:rPr>
        <w:t>及现状</w:t>
      </w:r>
    </w:p>
    <w:p w14:paraId="22E5BBB7">
      <w:pPr>
        <w:spacing w:line="560" w:lineRule="exact"/>
        <w:ind w:firstLine="560" w:firstLineChars="200"/>
        <w:rPr>
          <w:rFonts w:hint="eastAsia" w:ascii="仿宋_GB2312" w:hAnsi="仿宋_GB2312" w:eastAsia="仿宋_GB2312" w:cs="仿宋_GB2312"/>
          <w:color w:val="000000"/>
          <w:sz w:val="28"/>
          <w:szCs w:val="28"/>
          <w:highlight w:val="none"/>
          <w:lang w:eastAsia="zh-CN"/>
        </w:rPr>
      </w:pPr>
      <w:r>
        <w:rPr>
          <w:rFonts w:hint="eastAsia" w:ascii="仿宋_GB2312" w:hAnsi="仿宋_GB2312" w:eastAsia="仿宋_GB2312" w:cs="仿宋_GB2312"/>
          <w:color w:val="000000"/>
          <w:sz w:val="28"/>
          <w:szCs w:val="28"/>
          <w:highlight w:val="none"/>
          <w:lang w:eastAsia="zh-CN"/>
        </w:rPr>
        <w:t>（一）经营标的</w:t>
      </w:r>
    </w:p>
    <w:p w14:paraId="05048605">
      <w:pPr>
        <w:spacing w:line="560" w:lineRule="exact"/>
        <w:ind w:firstLine="560" w:firstLineChars="200"/>
        <w:rPr>
          <w:rFonts w:hint="eastAsia" w:ascii="仿宋_GB2312" w:hAnsi="仿宋_GB2312" w:eastAsia="仿宋_GB2312" w:cs="仿宋_GB2312"/>
          <w:color w:val="000000"/>
          <w:sz w:val="28"/>
          <w:szCs w:val="28"/>
          <w:highlight w:val="none"/>
          <w:lang w:eastAsia="zh-CN"/>
        </w:rPr>
      </w:pPr>
      <w:r>
        <w:rPr>
          <w:rFonts w:hint="eastAsia" w:ascii="仿宋_GB2312" w:hAnsi="仿宋_GB2312" w:eastAsia="仿宋_GB2312" w:cs="仿宋_GB2312"/>
          <w:color w:val="000000"/>
          <w:sz w:val="28"/>
          <w:szCs w:val="28"/>
          <w:highlight w:val="none"/>
          <w:lang w:eastAsia="zh-CN"/>
        </w:rPr>
        <w:t>贵阳轨道交通首期第二批次便民服务产业包括1号线</w:t>
      </w:r>
      <w:r>
        <w:rPr>
          <w:rFonts w:hint="eastAsia" w:ascii="仿宋_GB2312" w:hAnsi="仿宋_GB2312" w:eastAsia="仿宋_GB2312" w:cs="仿宋_GB2312"/>
          <w:color w:val="000000"/>
          <w:sz w:val="28"/>
          <w:szCs w:val="28"/>
          <w:highlight w:val="none"/>
          <w:lang w:val="en-US" w:eastAsia="zh-CN"/>
        </w:rPr>
        <w:t>国际生态会议中心站D口</w:t>
      </w:r>
      <w:r>
        <w:rPr>
          <w:rFonts w:hint="eastAsia" w:ascii="仿宋_GB2312" w:hAnsi="仿宋_GB2312" w:eastAsia="仿宋_GB2312" w:cs="仿宋_GB2312"/>
          <w:color w:val="000000"/>
          <w:sz w:val="28"/>
          <w:szCs w:val="28"/>
          <w:highlight w:val="none"/>
          <w:lang w:eastAsia="zh-CN"/>
        </w:rPr>
        <w:t>（原自助设备</w:t>
      </w:r>
      <w:r>
        <w:rPr>
          <w:rFonts w:hint="eastAsia" w:ascii="仿宋_GB2312" w:hAnsi="仿宋_GB2312" w:eastAsia="仿宋_GB2312" w:cs="仿宋_GB2312"/>
          <w:color w:val="000000"/>
          <w:sz w:val="28"/>
          <w:szCs w:val="28"/>
          <w:highlight w:val="none"/>
          <w:lang w:val="en-US" w:eastAsia="zh-CN"/>
        </w:rPr>
        <w:t>区</w:t>
      </w:r>
      <w:r>
        <w:rPr>
          <w:rFonts w:hint="eastAsia" w:ascii="仿宋_GB2312" w:hAnsi="仿宋_GB2312" w:eastAsia="仿宋_GB2312" w:cs="仿宋_GB2312"/>
          <w:color w:val="000000"/>
          <w:sz w:val="28"/>
          <w:szCs w:val="28"/>
          <w:highlight w:val="none"/>
          <w:lang w:eastAsia="zh-CN"/>
        </w:rPr>
        <w:t>）1处、北京路站D口（原自助设备</w:t>
      </w:r>
      <w:r>
        <w:rPr>
          <w:rFonts w:hint="eastAsia" w:ascii="仿宋_GB2312" w:hAnsi="仿宋_GB2312" w:eastAsia="仿宋_GB2312" w:cs="仿宋_GB2312"/>
          <w:color w:val="000000"/>
          <w:sz w:val="28"/>
          <w:szCs w:val="28"/>
          <w:highlight w:val="none"/>
          <w:lang w:val="en-US" w:eastAsia="zh-CN"/>
        </w:rPr>
        <w:t>区</w:t>
      </w:r>
      <w:r>
        <w:rPr>
          <w:rFonts w:hint="eastAsia" w:ascii="仿宋_GB2312" w:hAnsi="仿宋_GB2312" w:eastAsia="仿宋_GB2312" w:cs="仿宋_GB2312"/>
          <w:color w:val="000000"/>
          <w:sz w:val="28"/>
          <w:szCs w:val="28"/>
          <w:highlight w:val="none"/>
          <w:lang w:eastAsia="zh-CN"/>
        </w:rPr>
        <w:t>）1处、河滨公园站B口1</w:t>
      </w:r>
      <w:r>
        <w:rPr>
          <w:rFonts w:hint="eastAsia" w:ascii="仿宋_GB2312" w:hAnsi="仿宋_GB2312" w:eastAsia="仿宋_GB2312" w:cs="仿宋_GB2312"/>
          <w:color w:val="FF0000"/>
          <w:sz w:val="28"/>
          <w:szCs w:val="28"/>
          <w:highlight w:val="none"/>
          <w:lang w:val="en-US" w:eastAsia="zh-CN"/>
        </w:rPr>
        <w:t>处</w:t>
      </w:r>
      <w:r>
        <w:rPr>
          <w:rFonts w:hint="eastAsia" w:ascii="仿宋_GB2312" w:hAnsi="仿宋_GB2312" w:eastAsia="仿宋_GB2312" w:cs="仿宋_GB2312"/>
          <w:color w:val="000000"/>
          <w:sz w:val="28"/>
          <w:szCs w:val="28"/>
          <w:highlight w:val="none"/>
          <w:lang w:eastAsia="zh-CN"/>
        </w:rPr>
        <w:t>共</w:t>
      </w:r>
      <w:r>
        <w:rPr>
          <w:rFonts w:hint="eastAsia" w:ascii="仿宋_GB2312" w:hAnsi="仿宋_GB2312" w:eastAsia="仿宋_GB2312" w:cs="仿宋_GB2312"/>
          <w:color w:val="000000"/>
          <w:sz w:val="28"/>
          <w:szCs w:val="28"/>
          <w:highlight w:val="none"/>
          <w:lang w:val="en-US" w:eastAsia="zh-CN"/>
        </w:rPr>
        <w:t>3</w:t>
      </w:r>
      <w:r>
        <w:rPr>
          <w:rFonts w:hint="eastAsia" w:ascii="仿宋_GB2312" w:hAnsi="仿宋_GB2312" w:eastAsia="仿宋_GB2312" w:cs="仿宋_GB2312"/>
          <w:color w:val="000000"/>
          <w:sz w:val="28"/>
          <w:szCs w:val="28"/>
          <w:highlight w:val="none"/>
          <w:lang w:eastAsia="zh-CN"/>
        </w:rPr>
        <w:t>个站点的</w:t>
      </w:r>
      <w:r>
        <w:rPr>
          <w:rFonts w:hint="eastAsia" w:ascii="仿宋_GB2312" w:hAnsi="仿宋_GB2312" w:eastAsia="仿宋_GB2312" w:cs="仿宋_GB2312"/>
          <w:color w:val="000000"/>
          <w:sz w:val="28"/>
          <w:szCs w:val="28"/>
          <w:highlight w:val="none"/>
          <w:lang w:val="en-US" w:eastAsia="zh-CN"/>
        </w:rPr>
        <w:t>3</w:t>
      </w:r>
      <w:r>
        <w:rPr>
          <w:rFonts w:hint="eastAsia" w:ascii="仿宋_GB2312" w:hAnsi="仿宋_GB2312" w:eastAsia="仿宋_GB2312" w:cs="仿宋_GB2312"/>
          <w:color w:val="000000"/>
          <w:sz w:val="28"/>
          <w:szCs w:val="28"/>
          <w:highlight w:val="none"/>
          <w:lang w:eastAsia="zh-CN"/>
        </w:rPr>
        <w:t>处站厅区域（如下表）。</w:t>
      </w:r>
    </w:p>
    <w:p w14:paraId="62EB8807">
      <w:pPr>
        <w:rPr>
          <w:rFonts w:hint="eastAsia"/>
          <w:highlight w:val="none"/>
        </w:rPr>
      </w:pPr>
    </w:p>
    <w:tbl>
      <w:tblPr>
        <w:tblStyle w:val="4"/>
        <w:tblW w:w="408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03"/>
        <w:gridCol w:w="2438"/>
        <w:gridCol w:w="1116"/>
        <w:gridCol w:w="1219"/>
        <w:gridCol w:w="1578"/>
      </w:tblGrid>
      <w:tr w14:paraId="6007AC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433" w:type="pct"/>
            <w:tcBorders>
              <w:tl2br w:val="nil"/>
              <w:tr2bl w:val="nil"/>
            </w:tcBorders>
            <w:noWrap/>
            <w:vAlign w:val="center"/>
          </w:tcPr>
          <w:p w14:paraId="3167375B">
            <w:pPr>
              <w:widowControl/>
              <w:jc w:val="center"/>
              <w:textAlignment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kern w:val="0"/>
                <w:sz w:val="24"/>
                <w:szCs w:val="24"/>
                <w:highlight w:val="none"/>
                <w:lang w:bidi="ar"/>
              </w:rPr>
              <w:t>序号</w:t>
            </w:r>
          </w:p>
        </w:tc>
        <w:tc>
          <w:tcPr>
            <w:tcW w:w="1752" w:type="pct"/>
            <w:tcBorders>
              <w:tl2br w:val="nil"/>
              <w:tr2bl w:val="nil"/>
            </w:tcBorders>
            <w:noWrap/>
            <w:vAlign w:val="center"/>
          </w:tcPr>
          <w:p w14:paraId="3A366516">
            <w:pPr>
              <w:widowControl/>
              <w:jc w:val="center"/>
              <w:textAlignment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kern w:val="0"/>
                <w:sz w:val="24"/>
                <w:szCs w:val="24"/>
                <w:highlight w:val="none"/>
                <w:lang w:bidi="ar"/>
              </w:rPr>
              <w:t>站点</w:t>
            </w:r>
          </w:p>
        </w:tc>
        <w:tc>
          <w:tcPr>
            <w:tcW w:w="802" w:type="pct"/>
            <w:tcBorders>
              <w:tl2br w:val="nil"/>
              <w:tr2bl w:val="nil"/>
            </w:tcBorders>
            <w:noWrap/>
            <w:vAlign w:val="center"/>
          </w:tcPr>
          <w:p w14:paraId="549CDE39">
            <w:pPr>
              <w:widowControl/>
              <w:jc w:val="center"/>
              <w:textAlignment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kern w:val="0"/>
                <w:sz w:val="24"/>
                <w:szCs w:val="24"/>
                <w:highlight w:val="none"/>
                <w:lang w:bidi="ar"/>
              </w:rPr>
              <w:t>面积（</w:t>
            </w:r>
            <w:r>
              <w:rPr>
                <w:rFonts w:hint="eastAsia" w:ascii="Segoe UI Symbol" w:hAnsi="Segoe UI Symbol" w:eastAsia="宋体" w:cs="Segoe UI Symbol"/>
                <w:color w:val="000000"/>
                <w:kern w:val="0"/>
                <w:sz w:val="24"/>
                <w:szCs w:val="24"/>
                <w:highlight w:val="none"/>
                <w:lang w:val="en-US" w:eastAsia="zh-CN" w:bidi="ar"/>
              </w:rPr>
              <w:t>㎡</w:t>
            </w:r>
            <w:r>
              <w:rPr>
                <w:rFonts w:hint="eastAsia" w:ascii="仿宋_GB2312" w:hAnsi="仿宋_GB2312" w:eastAsia="仿宋_GB2312" w:cs="仿宋_GB2312"/>
                <w:color w:val="000000"/>
                <w:kern w:val="0"/>
                <w:sz w:val="24"/>
                <w:szCs w:val="24"/>
                <w:highlight w:val="none"/>
                <w:lang w:bidi="ar"/>
              </w:rPr>
              <w:t>）</w:t>
            </w:r>
          </w:p>
        </w:tc>
        <w:tc>
          <w:tcPr>
            <w:tcW w:w="876" w:type="pct"/>
            <w:tcBorders>
              <w:tl2br w:val="nil"/>
              <w:tr2bl w:val="nil"/>
            </w:tcBorders>
            <w:noWrap/>
            <w:vAlign w:val="center"/>
          </w:tcPr>
          <w:p w14:paraId="6A5B5CD4">
            <w:pPr>
              <w:widowControl/>
              <w:jc w:val="center"/>
              <w:textAlignment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sz w:val="24"/>
                <w:szCs w:val="24"/>
                <w:highlight w:val="none"/>
              </w:rPr>
              <w:t>供电(KW)</w:t>
            </w:r>
          </w:p>
        </w:tc>
        <w:tc>
          <w:tcPr>
            <w:tcW w:w="1134" w:type="pct"/>
            <w:tcBorders>
              <w:tl2br w:val="nil"/>
              <w:tr2bl w:val="nil"/>
            </w:tcBorders>
            <w:noWrap w:val="0"/>
            <w:vAlign w:val="center"/>
          </w:tcPr>
          <w:p w14:paraId="3D39C584">
            <w:pPr>
              <w:widowControl/>
              <w:jc w:val="center"/>
              <w:textAlignment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kern w:val="0"/>
                <w:sz w:val="24"/>
                <w:szCs w:val="24"/>
                <w:highlight w:val="none"/>
                <w:lang w:bidi="ar"/>
              </w:rPr>
              <w:t>备注</w:t>
            </w:r>
          </w:p>
        </w:tc>
      </w:tr>
      <w:tr w14:paraId="21A1E9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433" w:type="pct"/>
            <w:tcBorders>
              <w:tl2br w:val="nil"/>
              <w:tr2bl w:val="nil"/>
            </w:tcBorders>
            <w:noWrap/>
            <w:vAlign w:val="center"/>
          </w:tcPr>
          <w:p w14:paraId="383BFCB4">
            <w:pPr>
              <w:widowControl/>
              <w:jc w:val="center"/>
              <w:textAlignment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kern w:val="0"/>
                <w:sz w:val="24"/>
                <w:szCs w:val="24"/>
                <w:highlight w:val="none"/>
                <w:lang w:bidi="ar"/>
              </w:rPr>
              <w:t>1</w:t>
            </w:r>
          </w:p>
        </w:tc>
        <w:tc>
          <w:tcPr>
            <w:tcW w:w="1752" w:type="pct"/>
            <w:tcBorders>
              <w:tl2br w:val="nil"/>
              <w:tr2bl w:val="nil"/>
            </w:tcBorders>
            <w:noWrap/>
            <w:vAlign w:val="center"/>
          </w:tcPr>
          <w:p w14:paraId="64707DCB">
            <w:pPr>
              <w:widowControl/>
              <w:jc w:val="center"/>
              <w:textAlignment w:val="center"/>
              <w:rPr>
                <w:rFonts w:hint="default" w:ascii="仿宋_GB2312" w:hAnsi="宋体" w:eastAsia="仿宋_GB2312" w:cs="宋体"/>
                <w:color w:val="000000"/>
                <w:sz w:val="24"/>
                <w:szCs w:val="24"/>
                <w:highlight w:val="none"/>
                <w:lang w:val="en-US" w:eastAsia="zh-CN"/>
              </w:rPr>
            </w:pPr>
            <w:r>
              <w:rPr>
                <w:rFonts w:hint="eastAsia" w:ascii="仿宋_GB2312" w:hAnsi="宋体" w:eastAsia="仿宋_GB2312" w:cs="宋体"/>
                <w:color w:val="000000"/>
                <w:kern w:val="0"/>
                <w:sz w:val="24"/>
                <w:szCs w:val="24"/>
                <w:highlight w:val="none"/>
                <w:lang w:val="en-US" w:eastAsia="zh-CN" w:bidi="ar"/>
              </w:rPr>
              <w:t>国际生态会议中心站D口</w:t>
            </w:r>
          </w:p>
        </w:tc>
        <w:tc>
          <w:tcPr>
            <w:tcW w:w="802" w:type="pct"/>
            <w:tcBorders>
              <w:tl2br w:val="nil"/>
              <w:tr2bl w:val="nil"/>
            </w:tcBorders>
            <w:noWrap/>
            <w:vAlign w:val="center"/>
          </w:tcPr>
          <w:p w14:paraId="0EB3EC97">
            <w:pPr>
              <w:widowControl/>
              <w:jc w:val="center"/>
              <w:textAlignment w:val="center"/>
              <w:rPr>
                <w:rFonts w:hint="default" w:ascii="仿宋_GB2312" w:hAnsi="宋体" w:eastAsia="仿宋_GB2312" w:cs="宋体"/>
                <w:color w:val="000000"/>
                <w:sz w:val="24"/>
                <w:szCs w:val="24"/>
                <w:highlight w:val="none"/>
                <w:lang w:val="en-US" w:eastAsia="zh-CN"/>
              </w:rPr>
            </w:pPr>
            <w:r>
              <w:rPr>
                <w:rFonts w:hint="eastAsia" w:ascii="仿宋_GB2312" w:hAnsi="宋体" w:eastAsia="仿宋_GB2312" w:cs="宋体"/>
                <w:color w:val="000000"/>
                <w:kern w:val="0"/>
                <w:sz w:val="24"/>
                <w:szCs w:val="24"/>
                <w:highlight w:val="none"/>
                <w:lang w:val="en-US" w:eastAsia="zh-CN" w:bidi="ar"/>
              </w:rPr>
              <w:t>17.45</w:t>
            </w:r>
          </w:p>
        </w:tc>
        <w:tc>
          <w:tcPr>
            <w:tcW w:w="876" w:type="pct"/>
            <w:tcBorders>
              <w:tl2br w:val="nil"/>
              <w:tr2bl w:val="nil"/>
            </w:tcBorders>
            <w:noWrap/>
            <w:vAlign w:val="center"/>
          </w:tcPr>
          <w:p w14:paraId="7D5900AF">
            <w:pPr>
              <w:jc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sz w:val="24"/>
                <w:szCs w:val="24"/>
                <w:highlight w:val="none"/>
              </w:rPr>
              <w:t>220V</w:t>
            </w:r>
            <w:r>
              <w:rPr>
                <w:rFonts w:ascii="仿宋_GB2312" w:hAnsi="宋体" w:eastAsia="仿宋_GB2312" w:cs="宋体"/>
                <w:color w:val="000000"/>
                <w:sz w:val="24"/>
                <w:szCs w:val="24"/>
                <w:highlight w:val="none"/>
              </w:rPr>
              <w:t xml:space="preserve"> </w:t>
            </w:r>
            <w:r>
              <w:rPr>
                <w:rFonts w:hint="eastAsia" w:ascii="仿宋_GB2312" w:hAnsi="宋体" w:eastAsia="仿宋_GB2312" w:cs="宋体"/>
                <w:color w:val="000000"/>
                <w:sz w:val="24"/>
                <w:szCs w:val="24"/>
                <w:highlight w:val="none"/>
                <w:lang w:val="en-US" w:eastAsia="zh-CN"/>
              </w:rPr>
              <w:t>10</w:t>
            </w:r>
            <w:r>
              <w:rPr>
                <w:rFonts w:ascii="仿宋_GB2312" w:hAnsi="宋体" w:eastAsia="仿宋_GB2312" w:cs="宋体"/>
                <w:color w:val="000000"/>
                <w:sz w:val="24"/>
                <w:szCs w:val="24"/>
                <w:highlight w:val="none"/>
              </w:rPr>
              <w:t>KW</w:t>
            </w:r>
          </w:p>
        </w:tc>
        <w:tc>
          <w:tcPr>
            <w:tcW w:w="1134" w:type="pct"/>
            <w:tcBorders>
              <w:tl2br w:val="nil"/>
              <w:tr2bl w:val="nil"/>
            </w:tcBorders>
            <w:noWrap w:val="0"/>
            <w:vAlign w:val="center"/>
          </w:tcPr>
          <w:p w14:paraId="404B5568">
            <w:pPr>
              <w:jc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sz w:val="24"/>
                <w:szCs w:val="24"/>
                <w:highlight w:val="none"/>
              </w:rPr>
              <w:t>原自助设备区</w:t>
            </w:r>
          </w:p>
        </w:tc>
      </w:tr>
      <w:tr w14:paraId="11AAB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33" w:type="pct"/>
            <w:tcBorders>
              <w:tl2br w:val="nil"/>
              <w:tr2bl w:val="nil"/>
            </w:tcBorders>
            <w:noWrap/>
            <w:vAlign w:val="center"/>
          </w:tcPr>
          <w:p w14:paraId="550EC25D">
            <w:pPr>
              <w:widowControl/>
              <w:jc w:val="center"/>
              <w:textAlignment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kern w:val="0"/>
                <w:sz w:val="24"/>
                <w:szCs w:val="24"/>
                <w:highlight w:val="none"/>
                <w:lang w:bidi="ar"/>
              </w:rPr>
              <w:t>2</w:t>
            </w:r>
          </w:p>
        </w:tc>
        <w:tc>
          <w:tcPr>
            <w:tcW w:w="1752" w:type="pct"/>
            <w:tcBorders>
              <w:tl2br w:val="nil"/>
              <w:tr2bl w:val="nil"/>
            </w:tcBorders>
            <w:noWrap/>
            <w:vAlign w:val="center"/>
          </w:tcPr>
          <w:p w14:paraId="6556421E">
            <w:pPr>
              <w:widowControl/>
              <w:jc w:val="center"/>
              <w:textAlignment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kern w:val="0"/>
                <w:sz w:val="24"/>
                <w:szCs w:val="24"/>
                <w:highlight w:val="none"/>
                <w:lang w:bidi="ar"/>
              </w:rPr>
              <w:t>北京路站D口</w:t>
            </w:r>
          </w:p>
        </w:tc>
        <w:tc>
          <w:tcPr>
            <w:tcW w:w="802" w:type="pct"/>
            <w:tcBorders>
              <w:tl2br w:val="nil"/>
              <w:tr2bl w:val="nil"/>
            </w:tcBorders>
            <w:noWrap/>
            <w:vAlign w:val="center"/>
          </w:tcPr>
          <w:p w14:paraId="55F7E7FF">
            <w:pPr>
              <w:widowControl/>
              <w:jc w:val="center"/>
              <w:textAlignment w:val="center"/>
              <w:rPr>
                <w:rFonts w:hint="eastAsia" w:ascii="仿宋_GB2312" w:hAnsi="宋体" w:eastAsia="仿宋_GB2312" w:cs="宋体"/>
                <w:color w:val="000000"/>
                <w:sz w:val="24"/>
                <w:szCs w:val="24"/>
                <w:highlight w:val="none"/>
              </w:rPr>
            </w:pPr>
            <w:r>
              <w:rPr>
                <w:rFonts w:ascii="仿宋_GB2312" w:hAnsi="宋体" w:eastAsia="仿宋_GB2312" w:cs="宋体"/>
                <w:color w:val="000000"/>
                <w:kern w:val="0"/>
                <w:sz w:val="24"/>
                <w:szCs w:val="24"/>
                <w:highlight w:val="none"/>
                <w:lang w:bidi="ar"/>
              </w:rPr>
              <w:t>15.32</w:t>
            </w:r>
          </w:p>
        </w:tc>
        <w:tc>
          <w:tcPr>
            <w:tcW w:w="876" w:type="pct"/>
            <w:tcBorders>
              <w:tl2br w:val="nil"/>
              <w:tr2bl w:val="nil"/>
            </w:tcBorders>
            <w:noWrap/>
            <w:vAlign w:val="center"/>
          </w:tcPr>
          <w:p w14:paraId="3085BEC9">
            <w:pPr>
              <w:jc w:val="center"/>
              <w:rPr>
                <w:rFonts w:hint="eastAsia" w:ascii="仿宋_GB2312" w:hAnsi="宋体" w:eastAsia="仿宋_GB2312" w:cs="宋体"/>
                <w:color w:val="000000"/>
                <w:sz w:val="24"/>
                <w:szCs w:val="24"/>
                <w:highlight w:val="none"/>
              </w:rPr>
            </w:pPr>
            <w:r>
              <w:rPr>
                <w:rFonts w:ascii="仿宋_GB2312" w:hAnsi="宋体" w:eastAsia="仿宋_GB2312" w:cs="宋体"/>
                <w:color w:val="000000"/>
                <w:sz w:val="24"/>
                <w:szCs w:val="24"/>
                <w:highlight w:val="none"/>
              </w:rPr>
              <w:t>220V 3KW</w:t>
            </w:r>
          </w:p>
        </w:tc>
        <w:tc>
          <w:tcPr>
            <w:tcW w:w="1134" w:type="pct"/>
            <w:tcBorders>
              <w:tl2br w:val="nil"/>
              <w:tr2bl w:val="nil"/>
            </w:tcBorders>
            <w:noWrap w:val="0"/>
            <w:vAlign w:val="center"/>
          </w:tcPr>
          <w:p w14:paraId="6E9A0D42">
            <w:pPr>
              <w:jc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sz w:val="24"/>
                <w:szCs w:val="24"/>
                <w:highlight w:val="none"/>
              </w:rPr>
              <w:t>原自助设备区</w:t>
            </w:r>
          </w:p>
        </w:tc>
      </w:tr>
      <w:tr w14:paraId="68BE35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433" w:type="pct"/>
            <w:tcBorders>
              <w:tl2br w:val="nil"/>
              <w:tr2bl w:val="nil"/>
            </w:tcBorders>
            <w:noWrap/>
            <w:vAlign w:val="center"/>
          </w:tcPr>
          <w:p w14:paraId="7BF581A1">
            <w:pPr>
              <w:widowControl/>
              <w:jc w:val="center"/>
              <w:textAlignment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kern w:val="0"/>
                <w:sz w:val="24"/>
                <w:szCs w:val="24"/>
                <w:highlight w:val="none"/>
                <w:lang w:bidi="ar"/>
              </w:rPr>
              <w:t>3</w:t>
            </w:r>
          </w:p>
        </w:tc>
        <w:tc>
          <w:tcPr>
            <w:tcW w:w="1752" w:type="pct"/>
            <w:tcBorders>
              <w:tl2br w:val="nil"/>
              <w:tr2bl w:val="nil"/>
            </w:tcBorders>
            <w:noWrap/>
            <w:vAlign w:val="center"/>
          </w:tcPr>
          <w:p w14:paraId="144F3C70">
            <w:pPr>
              <w:widowControl/>
              <w:jc w:val="center"/>
              <w:textAlignment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kern w:val="0"/>
                <w:sz w:val="24"/>
                <w:szCs w:val="24"/>
                <w:highlight w:val="none"/>
                <w:lang w:bidi="ar"/>
              </w:rPr>
              <w:t>河滨公园站B口</w:t>
            </w:r>
          </w:p>
        </w:tc>
        <w:tc>
          <w:tcPr>
            <w:tcW w:w="802" w:type="pct"/>
            <w:tcBorders>
              <w:tl2br w:val="nil"/>
              <w:tr2bl w:val="nil"/>
            </w:tcBorders>
            <w:noWrap/>
            <w:vAlign w:val="center"/>
          </w:tcPr>
          <w:p w14:paraId="77D0FA8C">
            <w:pPr>
              <w:widowControl/>
              <w:jc w:val="center"/>
              <w:textAlignment w:val="center"/>
              <w:rPr>
                <w:rFonts w:hint="eastAsia" w:ascii="仿宋_GB2312" w:hAnsi="宋体" w:eastAsia="仿宋_GB2312" w:cs="宋体"/>
                <w:color w:val="000000"/>
                <w:sz w:val="24"/>
                <w:szCs w:val="24"/>
                <w:highlight w:val="none"/>
                <w:lang w:val="en-US" w:eastAsia="zh-CN"/>
              </w:rPr>
            </w:pPr>
            <w:r>
              <w:rPr>
                <w:rFonts w:ascii="仿宋_GB2312" w:hAnsi="宋体" w:eastAsia="仿宋_GB2312" w:cs="宋体"/>
                <w:color w:val="000000"/>
                <w:kern w:val="0"/>
                <w:sz w:val="24"/>
                <w:szCs w:val="24"/>
                <w:highlight w:val="none"/>
                <w:lang w:bidi="ar"/>
              </w:rPr>
              <w:t>14.7</w:t>
            </w:r>
            <w:r>
              <w:rPr>
                <w:rFonts w:hint="eastAsia" w:ascii="仿宋_GB2312" w:hAnsi="宋体" w:eastAsia="仿宋_GB2312" w:cs="宋体"/>
                <w:color w:val="000000"/>
                <w:kern w:val="0"/>
                <w:sz w:val="24"/>
                <w:szCs w:val="24"/>
                <w:highlight w:val="none"/>
                <w:lang w:val="en-US" w:eastAsia="zh-CN" w:bidi="ar"/>
              </w:rPr>
              <w:t>0</w:t>
            </w:r>
          </w:p>
        </w:tc>
        <w:tc>
          <w:tcPr>
            <w:tcW w:w="876" w:type="pct"/>
            <w:tcBorders>
              <w:tl2br w:val="nil"/>
              <w:tr2bl w:val="nil"/>
            </w:tcBorders>
            <w:noWrap/>
            <w:vAlign w:val="center"/>
          </w:tcPr>
          <w:p w14:paraId="3D98851F">
            <w:pPr>
              <w:jc w:val="center"/>
              <w:rPr>
                <w:rFonts w:hint="eastAsia" w:ascii="仿宋_GB2312" w:hAnsi="宋体" w:eastAsia="仿宋_GB2312" w:cs="宋体"/>
                <w:color w:val="000000"/>
                <w:sz w:val="24"/>
                <w:szCs w:val="24"/>
                <w:highlight w:val="none"/>
              </w:rPr>
            </w:pPr>
            <w:r>
              <w:rPr>
                <w:rFonts w:ascii="仿宋_GB2312" w:hAnsi="宋体" w:eastAsia="仿宋_GB2312" w:cs="宋体"/>
                <w:color w:val="000000"/>
                <w:sz w:val="24"/>
                <w:szCs w:val="24"/>
                <w:highlight w:val="none"/>
              </w:rPr>
              <w:t>220V 8KW</w:t>
            </w:r>
          </w:p>
        </w:tc>
        <w:tc>
          <w:tcPr>
            <w:tcW w:w="1134" w:type="pct"/>
            <w:tcBorders>
              <w:tl2br w:val="nil"/>
              <w:tr2bl w:val="nil"/>
            </w:tcBorders>
            <w:noWrap w:val="0"/>
            <w:vAlign w:val="center"/>
          </w:tcPr>
          <w:p w14:paraId="2C946842">
            <w:pPr>
              <w:jc w:val="center"/>
              <w:rPr>
                <w:rFonts w:hint="eastAsia" w:ascii="仿宋_GB2312" w:hAnsi="宋体" w:eastAsia="仿宋_GB2312" w:cs="宋体"/>
                <w:color w:val="000000"/>
                <w:sz w:val="24"/>
                <w:szCs w:val="24"/>
                <w:highlight w:val="none"/>
              </w:rPr>
            </w:pPr>
            <w:r>
              <w:rPr>
                <w:rFonts w:hint="eastAsia" w:ascii="仿宋_GB2312" w:hAnsi="宋体" w:eastAsia="仿宋_GB2312" w:cs="宋体"/>
                <w:color w:val="000000"/>
                <w:sz w:val="24"/>
                <w:szCs w:val="24"/>
                <w:highlight w:val="none"/>
              </w:rPr>
              <w:t>原自助设备区</w:t>
            </w:r>
          </w:p>
        </w:tc>
      </w:tr>
    </w:tbl>
    <w:p w14:paraId="44C4545E">
      <w:pPr>
        <w:spacing w:line="560" w:lineRule="exact"/>
        <w:ind w:firstLine="480" w:firstLineChars="200"/>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注：</w:t>
      </w:r>
    </w:p>
    <w:p w14:paraId="16AB44EB">
      <w:pPr>
        <w:spacing w:line="560" w:lineRule="exact"/>
        <w:ind w:firstLine="480" w:firstLineChars="200"/>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1.占地面积为现场用黄色胶带圈定范围内的面积，即计费面积。</w:t>
      </w:r>
    </w:p>
    <w:p w14:paraId="24AA02DC">
      <w:pPr>
        <w:spacing w:line="560" w:lineRule="exact"/>
        <w:ind w:firstLine="480" w:firstLineChars="200"/>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2.最终面积以实际交付为准（有异议时，以异议方委托双方均认可的具有相关资质的第三方测绘单位实测数据为准），实测数据与占地面积误差小于等于5%时，按原占地面积计费；实测数据与占地面积误差大于5%时，按实际面积计费。</w:t>
      </w:r>
    </w:p>
    <w:p w14:paraId="2BD8513B">
      <w:pPr>
        <w:spacing w:line="560" w:lineRule="exact"/>
        <w:ind w:firstLine="480" w:firstLineChars="200"/>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3.供电量以地铁运营公司施工接线后最终确定的用电功率为准。</w:t>
      </w:r>
    </w:p>
    <w:p w14:paraId="0D20F6E4">
      <w:pPr>
        <w:spacing w:line="560" w:lineRule="exact"/>
        <w:ind w:firstLine="560" w:firstLineChars="200"/>
        <w:rPr>
          <w:rFonts w:hint="eastAsia" w:ascii="仿宋_GB2312" w:hAnsi="仿宋_GB2312" w:eastAsia="仿宋_GB2312" w:cs="仿宋_GB2312"/>
          <w:color w:val="000000"/>
          <w:sz w:val="28"/>
          <w:szCs w:val="28"/>
          <w:highlight w:val="none"/>
          <w:lang w:eastAsia="zh-CN"/>
        </w:rPr>
      </w:pPr>
      <w:r>
        <w:rPr>
          <w:rFonts w:hint="eastAsia" w:ascii="仿宋_GB2312" w:hAnsi="仿宋_GB2312" w:eastAsia="仿宋_GB2312" w:cs="仿宋_GB2312"/>
          <w:color w:val="000000"/>
          <w:sz w:val="28"/>
          <w:szCs w:val="28"/>
          <w:highlight w:val="none"/>
          <w:lang w:eastAsia="zh-CN"/>
        </w:rPr>
        <w:t>（二）现状</w:t>
      </w:r>
    </w:p>
    <w:p w14:paraId="14C66C64">
      <w:pPr>
        <w:rPr>
          <w:rFonts w:hint="eastAsia" w:ascii="仿宋_GB2312" w:hAnsi="仿宋_GB2312" w:eastAsia="仿宋_GB2312" w:cs="仿宋_GB2312"/>
          <w:color w:val="000000"/>
          <w:sz w:val="28"/>
          <w:szCs w:val="28"/>
          <w:highlight w:val="none"/>
          <w:lang w:eastAsia="zh-CN"/>
        </w:rPr>
      </w:pPr>
      <w:r>
        <w:rPr>
          <w:rFonts w:hint="eastAsia" w:ascii="仿宋_GB2312" w:hAnsi="仿宋_GB2312" w:eastAsia="仿宋_GB2312" w:cs="仿宋_GB2312"/>
          <w:color w:val="000000"/>
          <w:sz w:val="28"/>
          <w:szCs w:val="28"/>
          <w:highlight w:val="none"/>
          <w:lang w:eastAsia="zh-CN"/>
        </w:rPr>
        <w:t>便民服务产业按现状移交，并在对应点位已用黄色胶带圈定使用区域。供电由甲方根据站厅实际情况统一实施，没有给排水。</w:t>
      </w:r>
    </w:p>
    <w:p w14:paraId="5074A1AB">
      <w:pPr>
        <w:tabs>
          <w:tab w:val="left" w:pos="900"/>
        </w:tabs>
        <w:spacing w:line="560" w:lineRule="atLeast"/>
        <w:ind w:firstLine="560" w:firstLineChars="200"/>
        <w:rPr>
          <w:rFonts w:ascii="黑体" w:hAnsi="黑体" w:eastAsia="黑体" w:cs="黑体"/>
          <w:bCs/>
          <w:color w:val="000000"/>
          <w:kern w:val="0"/>
          <w:sz w:val="28"/>
          <w:szCs w:val="28"/>
          <w:highlight w:val="none"/>
        </w:rPr>
      </w:pPr>
      <w:r>
        <w:rPr>
          <w:rFonts w:hint="eastAsia" w:ascii="黑体" w:hAnsi="黑体" w:eastAsia="黑体" w:cs="黑体"/>
          <w:bCs/>
          <w:color w:val="000000"/>
          <w:kern w:val="0"/>
          <w:sz w:val="28"/>
          <w:szCs w:val="28"/>
          <w:highlight w:val="none"/>
        </w:rPr>
        <w:t>交付约定</w:t>
      </w:r>
    </w:p>
    <w:p w14:paraId="4D9B3E13">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lang w:val="en-US" w:eastAsia="zh-CN"/>
        </w:rPr>
        <w:t>一</w:t>
      </w: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rPr>
        <w:t>甲方按</w:t>
      </w: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rPr>
        <w:t>现状交付</w:t>
      </w: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rPr>
        <w:t>原则移交便民服务产业，乙方确认已对标的物完成现场勘查并接受现状。</w:t>
      </w:r>
    </w:p>
    <w:p w14:paraId="30983B24">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lang w:val="en-US" w:eastAsia="zh-CN"/>
        </w:rPr>
        <w:t>二</w:t>
      </w: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rPr>
        <w:t>具备移交条件时，甲方向乙方发出交付通知书，双方按照交付通知书载明的时间和地点办理交付手续，自交付之日开始计算经营准备期；如因特殊情况导致无法交付，则由双方另行协商交付时间。</w:t>
      </w:r>
    </w:p>
    <w:p w14:paraId="43AC4976">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lang w:val="en-US" w:eastAsia="zh-CN"/>
        </w:rPr>
        <w:t>三</w:t>
      </w: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rPr>
        <w:t>如乙方不按要求办理交付手续，交付之日以交付通知书载明的时间为准；自交付通知书载明的交付时间起30日，乙方仍未与甲方完善交付手续的，双方</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合同自动解除且不退还已缴纳的履约保证金。</w:t>
      </w:r>
    </w:p>
    <w:p w14:paraId="5C360B7C">
      <w:pPr>
        <w:tabs>
          <w:tab w:val="left" w:pos="900"/>
        </w:tabs>
        <w:spacing w:line="560" w:lineRule="atLeast"/>
        <w:ind w:firstLine="560" w:firstLineChars="200"/>
        <w:rPr>
          <w:rFonts w:ascii="黑体" w:hAnsi="黑体" w:eastAsia="黑体" w:cs="黑体"/>
          <w:bCs/>
          <w:color w:val="000000"/>
          <w:kern w:val="0"/>
          <w:sz w:val="28"/>
          <w:szCs w:val="28"/>
          <w:highlight w:val="none"/>
        </w:rPr>
      </w:pPr>
      <w:r>
        <w:rPr>
          <w:rFonts w:hint="eastAsia" w:ascii="黑体" w:hAnsi="黑体" w:eastAsia="黑体" w:cs="黑体"/>
          <w:bCs/>
          <w:color w:val="000000"/>
          <w:kern w:val="0"/>
          <w:sz w:val="28"/>
          <w:szCs w:val="28"/>
          <w:highlight w:val="none"/>
        </w:rPr>
        <w:t>电费的计算和收取</w:t>
      </w:r>
    </w:p>
    <w:p w14:paraId="07334E2B">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自交付之日起，便民服务产业（包括经营范围及其相关管理范围）所产生的电费由乙方承担。电费由甲方代收代缴，并向甲方以现金或转账的方式缴纳电费保证金（1000.00元）后，甲方向乙方提供经营</w:t>
      </w:r>
      <w:bookmarkStart w:id="0" w:name="_GoBack"/>
      <w:bookmarkEnd w:id="0"/>
      <w:r>
        <w:rPr>
          <w:rFonts w:hint="eastAsia" w:ascii="仿宋_GB2312" w:hAnsi="仿宋_GB2312" w:eastAsia="仿宋_GB2312" w:cs="仿宋_GB2312"/>
          <w:color w:val="000000"/>
          <w:sz w:val="28"/>
          <w:szCs w:val="28"/>
          <w:highlight w:val="none"/>
        </w:rPr>
        <w:t>用电。</w:t>
      </w:r>
    </w:p>
    <w:p w14:paraId="11F1FA3D">
      <w:pPr>
        <w:spacing w:line="560" w:lineRule="exact"/>
        <w:ind w:firstLine="560" w:firstLineChars="200"/>
        <w:rPr>
          <w:rFonts w:ascii="仿宋_GB2312" w:hAnsi="仿宋_GB2312" w:eastAsia="仿宋_GB2312" w:cs="仿宋_GB2312"/>
          <w:color w:val="000000"/>
          <w:sz w:val="28"/>
          <w:szCs w:val="28"/>
          <w:highlight w:val="none"/>
        </w:rPr>
      </w:pPr>
      <w:r>
        <w:rPr>
          <w:rFonts w:hint="eastAsia" w:ascii="黑体" w:hAnsi="黑体" w:eastAsia="黑体" w:cs="黑体"/>
          <w:color w:val="000000"/>
          <w:sz w:val="28"/>
          <w:szCs w:val="28"/>
          <w:highlight w:val="none"/>
        </w:rPr>
        <w:t>重要合同条款</w:t>
      </w:r>
      <w:r>
        <w:rPr>
          <w:rFonts w:hint="eastAsia" w:ascii="仿宋_GB2312" w:hAnsi="仿宋_GB2312" w:eastAsia="仿宋_GB2312" w:cs="仿宋_GB2312"/>
          <w:color w:val="000000"/>
          <w:sz w:val="28"/>
          <w:szCs w:val="28"/>
          <w:highlight w:val="none"/>
        </w:rPr>
        <w:t xml:space="preserve"> </w:t>
      </w:r>
    </w:p>
    <w:p w14:paraId="3F6048DD">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（一）轨道交通运营优先</w:t>
      </w:r>
    </w:p>
    <w:p w14:paraId="0E5E1AA5">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1</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乙方明确知晓并同意在实施</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项下的任何条款时优先考虑轨道交通运营的安全高效。如政府政策变化或地铁建设、运营需要时，甲方拥有要求乙方永久或临时中止便民服务产业经营行为、调整经营范围的权利，乙方应无条件服从并给予积极配合。</w:t>
      </w:r>
    </w:p>
    <w:p w14:paraId="6F28FB4B">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2</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明确知晓并同意便民服务产业的经营须配合轨道交通运营客运服务，应避免与经营线路内的系统产生冲突、干扰或不产生噪音、气味等可能影响乘客体验的消极影响，并按甲方提出的合理要求进行及时、积极、高效解决。</w:t>
      </w:r>
    </w:p>
    <w:p w14:paraId="08634BE9">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3</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明确知晓并同意鉴于地铁的特殊性和公益性，甲方有权根据实际情况对经营线路开展必要的检查、维护、修复、建设、应急疏散、演习、甚至中断经营线路或车站运营，因此给乙方的经营带来影响时，乙方不得据此向甲方提出经营管理费调整、延长经营或其他赔偿诉求。</w:t>
      </w:r>
    </w:p>
    <w:p w14:paraId="5AF362B1">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4</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鉴于便民服务产业是轨道交通车站的一部分，乙方应在便民服务产业按照相关法律法规和规范要求配备消防等各类安全设施设备，对现场安全生产、消防安全、食品安全、治安保卫、信访维稳和信息发布安全负责，并按轨道公安要求安装监控或其他安保设备。</w:t>
      </w:r>
    </w:p>
    <w:p w14:paraId="5099EC3C">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（二）安全生产管理职责</w:t>
      </w:r>
    </w:p>
    <w:p w14:paraId="4A3DEA68">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1</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自移交之日，便民服务产业内的安全生产、消防安全、治安保卫、食品安全、信访维稳和信息发布安全的管理责任由乙方全权承担；乙方按照相关规定做好便民服务产业内的安全生产工作并承担相应费用和责任。</w:t>
      </w:r>
    </w:p>
    <w:p w14:paraId="7D88178D">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2</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甲方有权对乙方各类安全工作进行检查，对存在的问题和隐患，有权制止，并要求进行整改，并可对乙方进行处罚。对不按要求整改或拒不接受处罚的，甲方有权责令乙方停业整顿（停业期间甲方有权停水、停电，停水、停电所造成的一切损失及后果由乙方自行承担。）并按照</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合同约定追究乙方的违约责任，并向有关部门报告；凡发生事故的，甲方可按其造成的后果及影响，追究乙方的违约责任。</w:t>
      </w:r>
    </w:p>
    <w:p w14:paraId="15ACE6A5">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3</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为维护地铁运营环境及地铁运营安全，甲方有权对乙方影响运营安全和不符合运营管理要求的行为进行处罚，对不按要求整改或拒不接受处罚的，甲方有权责令乙方停业整顿（停业期间甲方有权停水、停电，因此所造成的一切损失及后果由乙方自行承担），按照</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合同约定追究乙方的违约责任；凡发生事故的，甲方可按其造成的后果及影响，追究乙方的违约责任，并向相关部门报告。</w:t>
      </w:r>
    </w:p>
    <w:p w14:paraId="54C91074">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4</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乙方应当具备《中华人民共和国安全生产法》和有关法律、行政法规和国家标准或者行业标准规定的安全生产条件。</w:t>
      </w:r>
    </w:p>
    <w:p w14:paraId="324EB4E3">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5</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乙方应严格遵守《中华人民共和国安全生产法》《中华人民共和国消防法》《中华人民共和国食品安全法》《</w:t>
      </w:r>
      <w:r>
        <w:rPr>
          <w:rFonts w:hint="eastAsia" w:ascii="仿宋_GB2312" w:hAnsi="仿宋_GB2312" w:eastAsia="仿宋_GB2312" w:cs="仿宋_GB2312"/>
          <w:color w:val="000000"/>
          <w:sz w:val="28"/>
          <w:szCs w:val="28"/>
          <w:highlight w:val="none"/>
        </w:rPr>
        <w:fldChar w:fldCharType="begin"/>
      </w:r>
      <w:r>
        <w:rPr>
          <w:rFonts w:hint="eastAsia" w:ascii="仿宋_GB2312" w:hAnsi="仿宋_GB2312" w:eastAsia="仿宋_GB2312" w:cs="仿宋_GB2312"/>
          <w:color w:val="000000"/>
          <w:sz w:val="28"/>
          <w:szCs w:val="28"/>
          <w:highlight w:val="none"/>
        </w:rPr>
        <w:instrText xml:space="preserve"> HYPERLINK "https://baike.baidu.com/item/%E4%B8%AD%E5%8D%8E%E4%BA%BA%E6%B0%91%E5%85%B1%E5%92%8C%E5%9B%BD%E6%B2%BB%E5%AE%89%E7%AE%A1%E7%90%86%E5%A4%84%E7%BD%9A%E6%B3%95/0?fromModule=lemma_inlink" \t "https://baike.baidu.com/item/%E4%B8%AD%E5%8D%8E%E4%BA%BA%E6%B0%91%E5%85%B1%E5%92%8C%E5%9B%BD%E6%B2%BB%E5%AE%89%E7%AE%A1%E7%90%86%E5%A4%84%E7%BD%9A%E6%9D%A1%E4%BE%8B/_blank" </w:instrText>
      </w:r>
      <w:r>
        <w:rPr>
          <w:rFonts w:hint="eastAsia" w:ascii="仿宋_GB2312" w:hAnsi="仿宋_GB2312" w:eastAsia="仿宋_GB2312" w:cs="仿宋_GB2312"/>
          <w:color w:val="000000"/>
          <w:sz w:val="28"/>
          <w:szCs w:val="28"/>
          <w:highlight w:val="none"/>
        </w:rPr>
        <w:fldChar w:fldCharType="separate"/>
      </w:r>
      <w:r>
        <w:rPr>
          <w:rFonts w:hint="eastAsia" w:ascii="仿宋_GB2312" w:hAnsi="仿宋_GB2312" w:eastAsia="仿宋_GB2312" w:cs="仿宋_GB2312"/>
          <w:color w:val="000000"/>
          <w:sz w:val="28"/>
          <w:szCs w:val="28"/>
          <w:highlight w:val="none"/>
        </w:rPr>
        <w:t>中华人民共和国治安管理处罚法</w:t>
      </w:r>
      <w:r>
        <w:rPr>
          <w:rFonts w:hint="eastAsia" w:ascii="仿宋_GB2312" w:hAnsi="仿宋_GB2312" w:eastAsia="仿宋_GB2312" w:cs="仿宋_GB2312"/>
          <w:color w:val="000000"/>
          <w:sz w:val="28"/>
          <w:szCs w:val="28"/>
          <w:highlight w:val="none"/>
        </w:rPr>
        <w:fldChar w:fldCharType="end"/>
      </w:r>
      <w:r>
        <w:rPr>
          <w:rFonts w:hint="eastAsia" w:ascii="仿宋_GB2312" w:hAnsi="仿宋_GB2312" w:eastAsia="仿宋_GB2312" w:cs="仿宋_GB2312"/>
          <w:color w:val="000000"/>
          <w:sz w:val="28"/>
          <w:szCs w:val="28"/>
          <w:highlight w:val="none"/>
        </w:rPr>
        <w:t>》等国家和地方相关法律、法规和标准以及轨道交通经营（运营）单位各项安全生产管理制度，并在安全管理工作方面接受甲方的监督。</w:t>
      </w:r>
    </w:p>
    <w:p w14:paraId="1FA67C56">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6</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应根据相关法律法规，建立健全并落实安全生产责任制度、各项安全生产规章制度和操作规程，成立安全生产和消防安全管理机构，明确专职或兼职安全生产和消防安全管理人员。相关人员应熟知国家安全生产法律法规，并具有生产经营活动的安全生产作业知识、食品安全知识和安全生产管理能力。从业人员资格条件应符合国家相关规定，并取得行业主管及相关部门颁发的从业资格证书，持证上岗。</w:t>
      </w:r>
    </w:p>
    <w:p w14:paraId="06EC68C7">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7</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乙方应对从业人员进行安全生产、消防安全、食品安全、治安保卫等安全教育培训。</w:t>
      </w:r>
    </w:p>
    <w:p w14:paraId="5EE421C7">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8</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乙方应对安全生产状况开展经常性检查，对检查中发现的问题立即处理，相关检查和整改情况须如实记录在案。</w:t>
      </w:r>
    </w:p>
    <w:p w14:paraId="001EAA12">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9</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乙方对甲方和地铁运营单位发出的安全生产、消防安全、食品安全、治安保卫、环境卫生等安全工作的相关要求须配合完成。</w:t>
      </w:r>
    </w:p>
    <w:p w14:paraId="59D73978">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10</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结合所经营项目的实际情况，配齐应急设施设备，并参加地铁经营单位组织的演练。严格执行安全联络机制和事故报送制度，通报安全情况和共享安全信息。发生突发事件立即组织进行紧急处置避免事态扩大，并按有关法律、法规和强制性标准的要求上报，并通知甲方；甲方有权向有关政府部门报告，但不替代乙方的上报。</w:t>
      </w:r>
    </w:p>
    <w:p w14:paraId="161256DE">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11</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乙方须自行及时办理经营所需的工商登记、税务登记、食品卫生等经营所需的证照或手续，严格执行政府职能部门有关商品质量、物价、安全、消防、卫生、环保等方面的政策、法律和法规。</w:t>
      </w:r>
    </w:p>
    <w:p w14:paraId="49973516">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12</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贯彻落实国家、省委省政府、市委市政府及交运集团的信访维稳政策，及时办理各类交办件及市民群众各渠道投诉及意见建议。</w:t>
      </w:r>
    </w:p>
    <w:p w14:paraId="199D924E">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13</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未尽事宜由相关安全协议补充。</w:t>
      </w:r>
    </w:p>
    <w:p w14:paraId="7455B626">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（三）相关经营手续的完善</w:t>
      </w:r>
    </w:p>
    <w:p w14:paraId="31CBADF0">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1</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乙方自行完善其开展经营活动所需的相关行政审批手续办理，如未完善相关行政审批手续开展经营活动的，一切后果由乙方自行承担；如给甲方带来损失的，乙方应承担相应的经济赔偿。</w:t>
      </w:r>
    </w:p>
    <w:p w14:paraId="0BB51168">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2</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甲方积极配合乙方开展相关行政审批手续办理，提供已完成的相关手续或证明材料。</w:t>
      </w:r>
    </w:p>
    <w:p w14:paraId="07C93167">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3</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乙方明确知晓经营标的物暂无可用于</w:t>
      </w:r>
      <w:r>
        <w:rPr>
          <w:rFonts w:hint="eastAsia" w:ascii="仿宋_GB2312" w:hAnsi="仿宋_GB2312" w:eastAsia="仿宋_GB2312" w:cs="仿宋_GB2312"/>
          <w:color w:val="auto"/>
          <w:sz w:val="28"/>
          <w:szCs w:val="28"/>
          <w:highlight w:val="none"/>
        </w:rPr>
        <w:t>商业经营的相关行政许可证</w:t>
      </w:r>
      <w:r>
        <w:rPr>
          <w:rFonts w:hint="eastAsia" w:ascii="仿宋_GB2312" w:hAnsi="仿宋_GB2312" w:eastAsia="仿宋_GB2312" w:cs="仿宋_GB2312"/>
          <w:color w:val="000000"/>
          <w:sz w:val="28"/>
          <w:szCs w:val="28"/>
          <w:highlight w:val="none"/>
        </w:rPr>
        <w:t>，明确知晓签订相关</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合同可能存在的风险，并自愿签订</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合同，由此产生后果（包括但不限于该合同无效、解除或其他任何原因不能履行）由乙方承担，乙方不得向甲方主张任何补偿或赔偿责任。</w:t>
      </w:r>
    </w:p>
    <w:p w14:paraId="75CB2F7F">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（四）装修管理</w:t>
      </w:r>
    </w:p>
    <w:p w14:paraId="54CB3246">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乙方开展装修不得对轨道交通运营造成妨碍或损害，业态规划方案、装修方案须经甲方同意、并完善相关地铁保护手续办理后方可实施，装修的报建、竣工验收手续由乙方自行办理，装修费用、办理相关手续的费用由乙方自行承担，并确保装修施工行为满足国家、地方相关法律法规和甲方颁布的相关制度要求。</w:t>
      </w:r>
    </w:p>
    <w:p w14:paraId="79985B19">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（五）经营管理</w:t>
      </w:r>
    </w:p>
    <w:p w14:paraId="0CE4E3B9">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1</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经营期间乙方不需缴纳物业管理费用，但须积极配合车站物业管理单位做好物业管理工作。</w:t>
      </w:r>
    </w:p>
    <w:p w14:paraId="256C0827">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2</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便民服务产业自交付给乙方后，如因乙方使用或维护不当引起结构或设施设备损坏，相关维修费用由乙方承担并应积极组织修复，不得对轨道交通运营产生妨碍；甲方已预留或安装的易耗品更新或维修费用由乙方承担。</w:t>
      </w:r>
    </w:p>
    <w:p w14:paraId="63CF546B">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FF0000"/>
          <w:sz w:val="28"/>
          <w:szCs w:val="28"/>
          <w:highlight w:val="none"/>
          <w:lang w:val="en-US" w:eastAsia="zh-CN"/>
        </w:rPr>
        <w:t>六</w:t>
      </w:r>
      <w:r>
        <w:rPr>
          <w:rFonts w:hint="eastAsia" w:ascii="仿宋_GB2312" w:hAnsi="仿宋_GB2312" w:eastAsia="仿宋_GB2312" w:cs="仿宋_GB2312"/>
          <w:color w:val="000000"/>
          <w:sz w:val="28"/>
          <w:szCs w:val="28"/>
          <w:highlight w:val="none"/>
        </w:rPr>
        <w:t>）乙方不得将便民服务产业进行转租，或用于担保、抵押等融资活动。</w:t>
      </w:r>
    </w:p>
    <w:p w14:paraId="542D675B">
      <w:pPr>
        <w:spacing w:line="560" w:lineRule="exact"/>
        <w:ind w:firstLine="560" w:firstLineChars="200"/>
        <w:rPr>
          <w:rFonts w:ascii="黑体" w:hAnsi="黑体" w:eastAsia="黑体" w:cs="黑体"/>
          <w:color w:val="000000"/>
          <w:sz w:val="28"/>
          <w:szCs w:val="28"/>
          <w:highlight w:val="none"/>
        </w:rPr>
      </w:pPr>
      <w:r>
        <w:rPr>
          <w:rFonts w:hint="eastAsia" w:ascii="黑体" w:hAnsi="黑体" w:eastAsia="黑体" w:cs="黑体"/>
          <w:color w:val="000000"/>
          <w:sz w:val="28"/>
          <w:szCs w:val="28"/>
          <w:highlight w:val="none"/>
        </w:rPr>
        <w:t>违约责任</w:t>
      </w:r>
    </w:p>
    <w:p w14:paraId="3B3CCAAE">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出现下列情形之一，甲方有权单方解除合同，不承担任何违约、赔偿责任且不返还乙方的</w:t>
      </w:r>
      <w:r>
        <w:rPr>
          <w:rFonts w:hint="eastAsia" w:ascii="仿宋_GB2312" w:hAnsi="仿宋_GB2312" w:eastAsia="仿宋_GB2312" w:cs="仿宋_GB2312"/>
          <w:color w:val="000000"/>
          <w:sz w:val="28"/>
          <w:szCs w:val="28"/>
          <w:highlight w:val="none"/>
          <w:lang w:val="en-US" w:eastAsia="zh-CN"/>
        </w:rPr>
        <w:t>已缴纳的经营权费及</w:t>
      </w:r>
      <w:r>
        <w:rPr>
          <w:rFonts w:hint="eastAsia" w:ascii="仿宋_GB2312" w:hAnsi="仿宋_GB2312" w:eastAsia="仿宋_GB2312" w:cs="仿宋_GB2312"/>
          <w:color w:val="000000"/>
          <w:sz w:val="28"/>
          <w:szCs w:val="28"/>
          <w:highlight w:val="none"/>
        </w:rPr>
        <w:t>履约保证金：</w:t>
      </w:r>
    </w:p>
    <w:p w14:paraId="6162FD5A">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（一）乙方因严重违反国家有关法律、法规、政策，导致经营场所被国家行政机关查封或关闭的。</w:t>
      </w:r>
    </w:p>
    <w:p w14:paraId="00588AC8">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000000"/>
          <w:sz w:val="28"/>
          <w:szCs w:val="28"/>
          <w:highlight w:val="none"/>
          <w:lang w:val="en-US" w:eastAsia="zh-CN"/>
        </w:rPr>
        <w:t>二</w:t>
      </w:r>
      <w:r>
        <w:rPr>
          <w:rFonts w:hint="eastAsia" w:ascii="仿宋_GB2312" w:hAnsi="仿宋_GB2312" w:eastAsia="仿宋_GB2312" w:cs="仿宋_GB2312"/>
          <w:color w:val="000000"/>
          <w:sz w:val="28"/>
          <w:szCs w:val="28"/>
          <w:highlight w:val="none"/>
        </w:rPr>
        <w:t>）乙方在商业经营过程中，未经甲方同意超出合同约定开展商业经营活动造成不良影响的。</w:t>
      </w:r>
    </w:p>
    <w:p w14:paraId="245D0CC1">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000000"/>
          <w:sz w:val="28"/>
          <w:szCs w:val="28"/>
          <w:highlight w:val="none"/>
          <w:lang w:val="en-US" w:eastAsia="zh-CN"/>
        </w:rPr>
        <w:t>三</w:t>
      </w:r>
      <w:r>
        <w:rPr>
          <w:rFonts w:hint="eastAsia" w:ascii="仿宋_GB2312" w:hAnsi="仿宋_GB2312" w:eastAsia="仿宋_GB2312" w:cs="仿宋_GB2312"/>
          <w:color w:val="000000"/>
          <w:sz w:val="28"/>
          <w:szCs w:val="28"/>
          <w:highlight w:val="none"/>
        </w:rPr>
        <w:t>）现场存在安全隐患且不按照甲方要求及时高效整改的。</w:t>
      </w:r>
    </w:p>
    <w:p w14:paraId="6F7B531F">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000000"/>
          <w:sz w:val="28"/>
          <w:szCs w:val="28"/>
          <w:highlight w:val="none"/>
          <w:lang w:val="en-US" w:eastAsia="zh-CN"/>
        </w:rPr>
        <w:t>四</w:t>
      </w:r>
      <w:r>
        <w:rPr>
          <w:rFonts w:hint="eastAsia" w:ascii="仿宋_GB2312" w:hAnsi="仿宋_GB2312" w:eastAsia="仿宋_GB2312" w:cs="仿宋_GB2312"/>
          <w:color w:val="000000"/>
          <w:sz w:val="28"/>
          <w:szCs w:val="28"/>
          <w:highlight w:val="none"/>
        </w:rPr>
        <w:t>）乙方经营活动严重干扰轨道交通正常运营、设施设备维护或应急抢险工作，经甲方书面警告后仍未采取有效整改措施的。</w:t>
      </w:r>
    </w:p>
    <w:p w14:paraId="5950190A">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000000"/>
          <w:sz w:val="28"/>
          <w:szCs w:val="28"/>
          <w:highlight w:val="none"/>
          <w:lang w:val="en-US" w:eastAsia="zh-CN"/>
        </w:rPr>
        <w:t>五</w:t>
      </w:r>
      <w:r>
        <w:rPr>
          <w:rFonts w:hint="eastAsia" w:ascii="仿宋_GB2312" w:hAnsi="仿宋_GB2312" w:eastAsia="仿宋_GB2312" w:cs="仿宋_GB2312"/>
          <w:color w:val="000000"/>
          <w:sz w:val="28"/>
          <w:szCs w:val="28"/>
          <w:highlight w:val="none"/>
        </w:rPr>
        <w:t>）在签署和履行本合同过程中隐瞒可能影响本合同履行的任何信息，向甲方提供虚假的资料或信息被查实的。</w:t>
      </w:r>
    </w:p>
    <w:p w14:paraId="3F672BAF">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000000"/>
          <w:sz w:val="28"/>
          <w:szCs w:val="28"/>
          <w:highlight w:val="none"/>
          <w:lang w:val="en-US" w:eastAsia="zh-CN"/>
        </w:rPr>
        <w:t>六</w:t>
      </w:r>
      <w:r>
        <w:rPr>
          <w:rFonts w:hint="eastAsia" w:ascii="仿宋_GB2312" w:hAnsi="仿宋_GB2312" w:eastAsia="仿宋_GB2312" w:cs="仿宋_GB2312"/>
          <w:color w:val="000000"/>
          <w:sz w:val="28"/>
          <w:szCs w:val="28"/>
          <w:highlight w:val="none"/>
        </w:rPr>
        <w:t>）乙方造成较大安全隐患而未采取及时有效的处理措施的。</w:t>
      </w:r>
    </w:p>
    <w:p w14:paraId="0499CB03">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000000"/>
          <w:sz w:val="28"/>
          <w:szCs w:val="28"/>
          <w:highlight w:val="none"/>
          <w:lang w:val="en-US" w:eastAsia="zh-CN"/>
        </w:rPr>
        <w:t>七</w:t>
      </w:r>
      <w:r>
        <w:rPr>
          <w:rFonts w:hint="eastAsia" w:ascii="仿宋_GB2312" w:hAnsi="仿宋_GB2312" w:eastAsia="仿宋_GB2312" w:cs="仿宋_GB2312"/>
          <w:color w:val="000000"/>
          <w:sz w:val="28"/>
          <w:szCs w:val="28"/>
          <w:highlight w:val="none"/>
        </w:rPr>
        <w:t>）乙方在经营期间严重违反</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合同条款或物业管理规定且拒不整改。</w:t>
      </w:r>
    </w:p>
    <w:p w14:paraId="62CE35A7">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000000"/>
          <w:sz w:val="28"/>
          <w:szCs w:val="28"/>
          <w:highlight w:val="none"/>
          <w:lang w:val="en-US" w:eastAsia="zh-CN"/>
        </w:rPr>
        <w:t>八</w:t>
      </w:r>
      <w:r>
        <w:rPr>
          <w:rFonts w:hint="eastAsia" w:ascii="仿宋_GB2312" w:hAnsi="仿宋_GB2312" w:eastAsia="仿宋_GB2312" w:cs="仿宋_GB2312"/>
          <w:color w:val="000000"/>
          <w:sz w:val="28"/>
          <w:szCs w:val="28"/>
          <w:highlight w:val="none"/>
        </w:rPr>
        <w:t>）经查实，乙方将经营标的进行转租或用于担保、抵押等融资的。</w:t>
      </w:r>
    </w:p>
    <w:p w14:paraId="17E22069">
      <w:pPr>
        <w:spacing w:line="560" w:lineRule="exact"/>
        <w:ind w:firstLine="560" w:firstLineChars="200"/>
        <w:rPr>
          <w:rFonts w:ascii="黑体" w:hAnsi="黑体" w:eastAsia="黑体" w:cs="黑体"/>
          <w:color w:val="000000"/>
          <w:sz w:val="28"/>
          <w:szCs w:val="28"/>
          <w:highlight w:val="none"/>
        </w:rPr>
      </w:pPr>
      <w:r>
        <w:rPr>
          <w:rFonts w:hint="eastAsia" w:ascii="黑体" w:hAnsi="黑体" w:eastAsia="黑体" w:cs="黑体"/>
          <w:color w:val="000000"/>
          <w:sz w:val="28"/>
          <w:szCs w:val="28"/>
          <w:highlight w:val="none"/>
        </w:rPr>
        <w:t>合同终止及解除</w:t>
      </w:r>
    </w:p>
    <w:p w14:paraId="27683D6A">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（一）经营期满终止合同</w:t>
      </w:r>
    </w:p>
    <w:p w14:paraId="3DB7509B">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经营期限届满，乙方将便民服务产业按照返还条款约定移交给甲方，并退还履约保证金，双方正常解除合同，不再另行签订解除协议。</w:t>
      </w:r>
    </w:p>
    <w:p w14:paraId="5E1CA89E">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（二）提前终止合同</w:t>
      </w:r>
    </w:p>
    <w:p w14:paraId="309D45DE">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1</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乙方因自身原因提前终止合同的，须提前至少</w:t>
      </w:r>
      <w:r>
        <w:rPr>
          <w:rFonts w:hint="eastAsia" w:ascii="仿宋_GB2312" w:hAnsi="仿宋_GB2312" w:eastAsia="仿宋_GB2312" w:cs="仿宋_GB2312"/>
          <w:color w:val="000000"/>
          <w:sz w:val="28"/>
          <w:szCs w:val="28"/>
          <w:highlight w:val="none"/>
          <w:lang w:val="en-US" w:eastAsia="zh-CN"/>
        </w:rPr>
        <w:t>1个月</w:t>
      </w:r>
      <w:r>
        <w:rPr>
          <w:rFonts w:hint="eastAsia" w:ascii="仿宋_GB2312" w:hAnsi="仿宋_GB2312" w:eastAsia="仿宋_GB2312" w:cs="仿宋_GB2312"/>
          <w:color w:val="000000"/>
          <w:sz w:val="28"/>
          <w:szCs w:val="28"/>
          <w:highlight w:val="none"/>
        </w:rPr>
        <w:t>书面征得甲方同意，双方协商一致并按照返还条款的约定将便民服务产业移交给甲方后，履约保证金不予以退还，乙方缴纳的剩余未使用经营管理费在扣除相关费用（包括但不限于水电费、拆除、清理或修复产生的费用等）后将予以退还；履约保证金和未使用经营管理费不足以抵扣相关费用时，甲方有权向乙方进行追偿。</w:t>
      </w:r>
    </w:p>
    <w:p w14:paraId="07D9587C">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2</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甲方因自身的原因需提前终止</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的，甲方向乙方发出书面通知，通知载明之日即为合同终止日。甲方将未使用的经营管理费和履约保证金予以退还，乙方须按通知要求将便民服务产业及时移交给甲方，因此给乙方产生的损失由双方另行协商处理。</w:t>
      </w:r>
    </w:p>
    <w:p w14:paraId="0205FACF">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3</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因不可抗力因素导致便民服务产业不能使用或合同目的不能实现的，双方均有权提出解除</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合同，双方达成一致意见后可友好解除合同，除不退还已使用的经营管理费外，双方互不承担违约责任。</w:t>
      </w:r>
    </w:p>
    <w:p w14:paraId="53D9EF97">
      <w:pPr>
        <w:spacing w:line="560" w:lineRule="exact"/>
        <w:ind w:firstLine="560" w:firstLineChars="200"/>
        <w:rPr>
          <w:rFonts w:hint="default" w:ascii="仿宋_GB2312" w:hAnsi="仿宋_GB2312" w:eastAsia="仿宋_GB2312" w:cs="仿宋_GB2312"/>
          <w:color w:val="000000"/>
          <w:sz w:val="28"/>
          <w:szCs w:val="28"/>
          <w:highlight w:val="none"/>
          <w:lang w:val="en-US" w:eastAsia="zh-CN"/>
        </w:rPr>
      </w:pPr>
      <w:r>
        <w:rPr>
          <w:rFonts w:hint="eastAsia" w:ascii="仿宋_GB2312" w:hAnsi="仿宋_GB2312" w:eastAsia="仿宋_GB2312" w:cs="仿宋_GB2312"/>
          <w:color w:val="000000"/>
          <w:sz w:val="28"/>
          <w:szCs w:val="28"/>
          <w:highlight w:val="none"/>
        </w:rPr>
        <w:t>（三）</w:t>
      </w:r>
      <w:r>
        <w:rPr>
          <w:rFonts w:hint="eastAsia" w:ascii="仿宋_GB2312" w:hAnsi="仿宋_GB2312" w:eastAsia="仿宋_GB2312" w:cs="仿宋_GB2312"/>
          <w:color w:val="000000"/>
          <w:sz w:val="28"/>
          <w:szCs w:val="28"/>
          <w:highlight w:val="none"/>
          <w:lang w:val="en-US" w:eastAsia="zh-CN"/>
        </w:rPr>
        <w:t>违约终止</w:t>
      </w:r>
    </w:p>
    <w:p w14:paraId="177D9259">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如</w:t>
      </w:r>
      <w:r>
        <w:rPr>
          <w:rFonts w:hint="eastAsia" w:ascii="仿宋_GB2312" w:hAnsi="仿宋_GB2312" w:eastAsia="仿宋_GB2312" w:cs="仿宋_GB2312"/>
          <w:color w:val="000000"/>
          <w:sz w:val="28"/>
          <w:szCs w:val="28"/>
          <w:highlight w:val="none"/>
          <w:lang w:eastAsia="zh-CN"/>
        </w:rPr>
        <w:t>乙方</w:t>
      </w:r>
      <w:r>
        <w:rPr>
          <w:rFonts w:hint="eastAsia" w:ascii="仿宋_GB2312" w:hAnsi="仿宋_GB2312" w:eastAsia="仿宋_GB2312" w:cs="仿宋_GB2312"/>
          <w:color w:val="000000"/>
          <w:sz w:val="28"/>
          <w:szCs w:val="28"/>
          <w:highlight w:val="none"/>
        </w:rPr>
        <w:t>违反本合同约定，</w:t>
      </w:r>
      <w:r>
        <w:rPr>
          <w:rFonts w:hint="eastAsia" w:ascii="仿宋_GB2312" w:hAnsi="仿宋_GB2312" w:eastAsia="仿宋_GB2312" w:cs="仿宋_GB2312"/>
          <w:color w:val="000000"/>
          <w:sz w:val="28"/>
          <w:szCs w:val="28"/>
          <w:highlight w:val="none"/>
          <w:lang w:eastAsia="zh-CN"/>
        </w:rPr>
        <w:t>甲方</w:t>
      </w:r>
      <w:r>
        <w:rPr>
          <w:rFonts w:hint="eastAsia" w:ascii="仿宋_GB2312" w:hAnsi="仿宋_GB2312" w:eastAsia="仿宋_GB2312" w:cs="仿宋_GB2312"/>
          <w:color w:val="000000"/>
          <w:sz w:val="28"/>
          <w:szCs w:val="28"/>
          <w:highlight w:val="none"/>
        </w:rPr>
        <w:t>除有权追究</w:t>
      </w:r>
      <w:r>
        <w:rPr>
          <w:rFonts w:hint="eastAsia" w:ascii="仿宋_GB2312" w:hAnsi="仿宋_GB2312" w:eastAsia="仿宋_GB2312" w:cs="仿宋_GB2312"/>
          <w:color w:val="000000"/>
          <w:sz w:val="28"/>
          <w:szCs w:val="28"/>
          <w:highlight w:val="none"/>
          <w:lang w:eastAsia="zh-CN"/>
        </w:rPr>
        <w:t>乙方</w:t>
      </w:r>
      <w:r>
        <w:rPr>
          <w:rFonts w:hint="eastAsia" w:ascii="仿宋_GB2312" w:hAnsi="仿宋_GB2312" w:eastAsia="仿宋_GB2312" w:cs="仿宋_GB2312"/>
          <w:color w:val="000000"/>
          <w:sz w:val="28"/>
          <w:szCs w:val="28"/>
          <w:highlight w:val="none"/>
        </w:rPr>
        <w:t>违约赔偿责任外，还有权发出终止通知终止本合同，发出终止通知之日即为终止日，</w:t>
      </w:r>
      <w:r>
        <w:rPr>
          <w:rFonts w:hint="eastAsia" w:ascii="仿宋_GB2312" w:hAnsi="仿宋_GB2312" w:eastAsia="仿宋_GB2312" w:cs="仿宋_GB2312"/>
          <w:color w:val="000000"/>
          <w:sz w:val="28"/>
          <w:szCs w:val="28"/>
          <w:highlight w:val="none"/>
          <w:lang w:eastAsia="zh-CN"/>
        </w:rPr>
        <w:t>甲方</w:t>
      </w:r>
      <w:r>
        <w:rPr>
          <w:rFonts w:hint="eastAsia" w:ascii="仿宋_GB2312" w:hAnsi="仿宋_GB2312" w:eastAsia="仿宋_GB2312" w:cs="仿宋_GB2312"/>
          <w:color w:val="000000"/>
          <w:sz w:val="28"/>
          <w:szCs w:val="28"/>
          <w:highlight w:val="none"/>
        </w:rPr>
        <w:t>已经收取的</w:t>
      </w:r>
      <w:r>
        <w:rPr>
          <w:rFonts w:hint="eastAsia" w:ascii="仿宋_GB2312" w:hAnsi="仿宋_GB2312" w:eastAsia="仿宋_GB2312" w:cs="仿宋_GB2312"/>
          <w:color w:val="000000"/>
          <w:sz w:val="28"/>
          <w:szCs w:val="28"/>
          <w:highlight w:val="none"/>
          <w:lang w:val="en-US" w:eastAsia="zh-CN"/>
        </w:rPr>
        <w:t>经营权费</w:t>
      </w:r>
      <w:r>
        <w:rPr>
          <w:rFonts w:hint="eastAsia" w:ascii="仿宋_GB2312" w:hAnsi="仿宋_GB2312" w:eastAsia="仿宋_GB2312" w:cs="仿宋_GB2312"/>
          <w:color w:val="000000"/>
          <w:sz w:val="28"/>
          <w:szCs w:val="28"/>
          <w:highlight w:val="none"/>
          <w:lang w:eastAsia="zh-CN"/>
        </w:rPr>
        <w:t>和履约保证金</w:t>
      </w:r>
      <w:r>
        <w:rPr>
          <w:rFonts w:hint="eastAsia" w:ascii="仿宋_GB2312" w:hAnsi="仿宋_GB2312" w:eastAsia="仿宋_GB2312" w:cs="仿宋_GB2312"/>
          <w:color w:val="000000"/>
          <w:sz w:val="28"/>
          <w:szCs w:val="28"/>
          <w:highlight w:val="none"/>
        </w:rPr>
        <w:t>不退还</w:t>
      </w:r>
      <w:r>
        <w:rPr>
          <w:rFonts w:hint="eastAsia" w:ascii="仿宋_GB2312" w:hAnsi="仿宋_GB2312" w:eastAsia="仿宋_GB2312" w:cs="仿宋_GB2312"/>
          <w:color w:val="000000"/>
          <w:sz w:val="28"/>
          <w:szCs w:val="28"/>
          <w:highlight w:val="none"/>
          <w:lang w:eastAsia="zh-CN"/>
        </w:rPr>
        <w:t>乙方</w:t>
      </w:r>
      <w:r>
        <w:rPr>
          <w:rFonts w:hint="eastAsia" w:ascii="仿宋_GB2312" w:hAnsi="仿宋_GB2312" w:eastAsia="仿宋_GB2312" w:cs="仿宋_GB2312"/>
          <w:color w:val="000000"/>
          <w:sz w:val="28"/>
          <w:szCs w:val="28"/>
          <w:highlight w:val="none"/>
        </w:rPr>
        <w:t>。此外，</w:t>
      </w:r>
      <w:r>
        <w:rPr>
          <w:rFonts w:hint="eastAsia" w:ascii="仿宋_GB2312" w:hAnsi="仿宋_GB2312" w:eastAsia="仿宋_GB2312" w:cs="仿宋_GB2312"/>
          <w:color w:val="000000"/>
          <w:sz w:val="28"/>
          <w:szCs w:val="28"/>
          <w:highlight w:val="none"/>
          <w:lang w:eastAsia="zh-CN"/>
        </w:rPr>
        <w:t>乙方</w:t>
      </w:r>
      <w:r>
        <w:rPr>
          <w:rFonts w:hint="eastAsia" w:ascii="仿宋_GB2312" w:hAnsi="仿宋_GB2312" w:eastAsia="仿宋_GB2312" w:cs="仿宋_GB2312"/>
          <w:color w:val="000000"/>
          <w:sz w:val="28"/>
          <w:szCs w:val="28"/>
          <w:highlight w:val="none"/>
        </w:rPr>
        <w:t>须向</w:t>
      </w:r>
      <w:r>
        <w:rPr>
          <w:rFonts w:hint="eastAsia" w:ascii="仿宋_GB2312" w:hAnsi="仿宋_GB2312" w:eastAsia="仿宋_GB2312" w:cs="仿宋_GB2312"/>
          <w:color w:val="000000"/>
          <w:sz w:val="28"/>
          <w:szCs w:val="28"/>
          <w:highlight w:val="none"/>
          <w:lang w:val="en-US" w:eastAsia="zh-CN"/>
        </w:rPr>
        <w:t>甲方</w:t>
      </w:r>
      <w:r>
        <w:rPr>
          <w:rFonts w:hint="eastAsia" w:ascii="仿宋_GB2312" w:hAnsi="仿宋_GB2312" w:eastAsia="仿宋_GB2312" w:cs="仿宋_GB2312"/>
          <w:color w:val="000000"/>
          <w:sz w:val="28"/>
          <w:szCs w:val="28"/>
          <w:highlight w:val="none"/>
        </w:rPr>
        <w:t>赔偿因此给</w:t>
      </w:r>
      <w:r>
        <w:rPr>
          <w:rFonts w:hint="eastAsia" w:ascii="仿宋_GB2312" w:hAnsi="仿宋_GB2312" w:eastAsia="仿宋_GB2312" w:cs="仿宋_GB2312"/>
          <w:color w:val="000000"/>
          <w:sz w:val="28"/>
          <w:szCs w:val="28"/>
          <w:highlight w:val="none"/>
          <w:lang w:eastAsia="zh-CN"/>
        </w:rPr>
        <w:t>甲方</w:t>
      </w:r>
      <w:r>
        <w:rPr>
          <w:rFonts w:hint="eastAsia" w:ascii="仿宋_GB2312" w:hAnsi="仿宋_GB2312" w:eastAsia="仿宋_GB2312" w:cs="仿宋_GB2312"/>
          <w:color w:val="000000"/>
          <w:sz w:val="28"/>
          <w:szCs w:val="28"/>
          <w:highlight w:val="none"/>
        </w:rPr>
        <w:t>造成的经济损失。</w:t>
      </w:r>
      <w:r>
        <w:rPr>
          <w:rFonts w:hint="eastAsia" w:ascii="仿宋_GB2312" w:hAnsi="仿宋_GB2312" w:eastAsia="仿宋_GB2312" w:cs="仿宋_GB2312"/>
          <w:color w:val="000000"/>
          <w:sz w:val="28"/>
          <w:szCs w:val="28"/>
          <w:highlight w:val="none"/>
          <w:lang w:eastAsia="zh-CN"/>
        </w:rPr>
        <w:t>乙方</w:t>
      </w:r>
      <w:r>
        <w:rPr>
          <w:rFonts w:hint="eastAsia" w:ascii="仿宋_GB2312" w:hAnsi="仿宋_GB2312" w:eastAsia="仿宋_GB2312" w:cs="仿宋_GB2312"/>
          <w:color w:val="000000"/>
          <w:sz w:val="28"/>
          <w:szCs w:val="28"/>
          <w:highlight w:val="none"/>
        </w:rPr>
        <w:t>应按本合同有关返还的约定条款执行，</w:t>
      </w:r>
      <w:r>
        <w:rPr>
          <w:rFonts w:hint="eastAsia" w:ascii="仿宋_GB2312" w:hAnsi="仿宋_GB2312" w:eastAsia="仿宋_GB2312" w:cs="仿宋_GB2312"/>
          <w:color w:val="000000"/>
          <w:sz w:val="28"/>
          <w:szCs w:val="28"/>
          <w:highlight w:val="none"/>
          <w:lang w:eastAsia="zh-CN"/>
        </w:rPr>
        <w:t>甲方</w:t>
      </w:r>
      <w:r>
        <w:rPr>
          <w:rFonts w:hint="eastAsia" w:ascii="仿宋_GB2312" w:hAnsi="仿宋_GB2312" w:eastAsia="仿宋_GB2312" w:cs="仿宋_GB2312"/>
          <w:color w:val="000000"/>
          <w:sz w:val="28"/>
          <w:szCs w:val="28"/>
          <w:highlight w:val="none"/>
        </w:rPr>
        <w:t>无须为此向</w:t>
      </w:r>
      <w:r>
        <w:rPr>
          <w:rFonts w:hint="eastAsia" w:ascii="仿宋_GB2312" w:hAnsi="仿宋_GB2312" w:eastAsia="仿宋_GB2312" w:cs="仿宋_GB2312"/>
          <w:color w:val="000000"/>
          <w:sz w:val="28"/>
          <w:szCs w:val="28"/>
          <w:highlight w:val="none"/>
          <w:lang w:eastAsia="zh-CN"/>
        </w:rPr>
        <w:t>乙方</w:t>
      </w:r>
      <w:r>
        <w:rPr>
          <w:rFonts w:hint="eastAsia" w:ascii="仿宋_GB2312" w:hAnsi="仿宋_GB2312" w:eastAsia="仿宋_GB2312" w:cs="仿宋_GB2312"/>
          <w:color w:val="000000"/>
          <w:sz w:val="28"/>
          <w:szCs w:val="28"/>
          <w:highlight w:val="none"/>
        </w:rPr>
        <w:t>承担任何形式的补偿责任。</w:t>
      </w:r>
    </w:p>
    <w:p w14:paraId="7C5C1092">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000000"/>
          <w:sz w:val="28"/>
          <w:szCs w:val="28"/>
          <w:highlight w:val="none"/>
          <w:lang w:val="en-US" w:eastAsia="zh-CN"/>
        </w:rPr>
        <w:t>四</w:t>
      </w:r>
      <w:r>
        <w:rPr>
          <w:rFonts w:hint="eastAsia" w:ascii="仿宋_GB2312" w:hAnsi="仿宋_GB2312" w:eastAsia="仿宋_GB2312" w:cs="仿宋_GB2312"/>
          <w:color w:val="000000"/>
          <w:sz w:val="28"/>
          <w:szCs w:val="28"/>
          <w:highlight w:val="none"/>
        </w:rPr>
        <w:t>）返还</w:t>
      </w:r>
    </w:p>
    <w:p w14:paraId="3A19C1A9">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1</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合同正常履行的，经营期最后一日为退场之日；</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合同由双方协商一致解除的，退场之日以双方约定为准；单方解除</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合同的，退场之日以</w:t>
      </w:r>
      <w:r>
        <w:rPr>
          <w:rFonts w:hint="eastAsia" w:ascii="仿宋_GB2312" w:hAnsi="仿宋_GB2312" w:eastAsia="仿宋_GB2312" w:cs="仿宋_GB2312"/>
          <w:color w:val="000000"/>
          <w:sz w:val="28"/>
          <w:szCs w:val="28"/>
          <w:highlight w:val="none"/>
          <w:lang w:eastAsia="zh-CN"/>
        </w:rPr>
        <w:t>经营</w:t>
      </w:r>
      <w:r>
        <w:rPr>
          <w:rFonts w:hint="eastAsia" w:ascii="仿宋_GB2312" w:hAnsi="仿宋_GB2312" w:eastAsia="仿宋_GB2312" w:cs="仿宋_GB2312"/>
          <w:color w:val="000000"/>
          <w:sz w:val="28"/>
          <w:szCs w:val="28"/>
          <w:highlight w:val="none"/>
        </w:rPr>
        <w:t>合同约定的相关退场文件载明的日期为准。</w:t>
      </w:r>
    </w:p>
    <w:p w14:paraId="2440B079">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2</w:t>
      </w:r>
      <w:r>
        <w:rPr>
          <w:rFonts w:hint="eastAsia" w:ascii="仿宋_GB2312" w:hAnsi="仿宋_GB2312" w:eastAsia="仿宋_GB2312" w:cs="仿宋_GB2312"/>
          <w:color w:val="000000"/>
          <w:sz w:val="28"/>
          <w:szCs w:val="28"/>
          <w:highlight w:val="none"/>
          <w:lang w:val="en-US" w:eastAsia="zh-CN"/>
        </w:rPr>
        <w:t>.</w:t>
      </w:r>
      <w:r>
        <w:rPr>
          <w:rFonts w:hint="eastAsia" w:ascii="仿宋_GB2312" w:hAnsi="仿宋_GB2312" w:eastAsia="仿宋_GB2312" w:cs="仿宋_GB2312"/>
          <w:color w:val="000000"/>
          <w:sz w:val="28"/>
          <w:szCs w:val="28"/>
          <w:highlight w:val="none"/>
        </w:rPr>
        <w:t>乙方须在双方约定的退场之日前完成便民服务产业内由其实施的设施设备拆除和垃圾清理，不便拆除且甲方愿意接收的设施设备经双方协商一致后可保留；乙方须对其使用损坏的、由甲方实施的结构和设施设备按照不低于原标准修复后方可返还给甲方。</w:t>
      </w:r>
    </w:p>
    <w:p w14:paraId="12F514EF">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3</w:t>
      </w:r>
      <w:r>
        <w:rPr>
          <w:rFonts w:hint="eastAsia" w:ascii="仿宋_GB2312" w:hAnsi="仿宋_GB2312" w:eastAsia="仿宋_GB2312" w:cs="仿宋_GB2312"/>
          <w:color w:val="000000"/>
          <w:sz w:val="28"/>
          <w:szCs w:val="28"/>
          <w:highlight w:val="none"/>
          <w:lang w:val="en-US" w:eastAsia="zh-CN"/>
        </w:rPr>
        <w:t>.截止退场之日按约定完成退场（包括但不限于拆除、清理、修复等工作）的，双方对现场设施设备进行共同检查、对电表度数进行确认后双方签订移交表、完善书面移交手续；乙方未按合同约定、撤场通知或其他约定完成退场（包括但不限于拆除、清理、修复等工作）的，甲方有权对现场结构、设施设备、电表度数进行拍照取证后自行开展清场工作，且不对权属于乙方的相关设施设备有任何保存、维护义务，相关处理费用由乙方承担。</w:t>
      </w:r>
    </w:p>
    <w:p w14:paraId="303407B2">
      <w:pPr>
        <w:spacing w:line="560" w:lineRule="exact"/>
        <w:ind w:firstLine="560" w:firstLineChars="200"/>
        <w:rPr>
          <w:rFonts w:ascii="黑体" w:hAnsi="黑体" w:eastAsia="黑体" w:cs="黑体"/>
          <w:color w:val="000000"/>
          <w:sz w:val="28"/>
          <w:szCs w:val="28"/>
          <w:highlight w:val="none"/>
        </w:rPr>
      </w:pPr>
      <w:r>
        <w:rPr>
          <w:rFonts w:hint="eastAsia" w:ascii="黑体" w:hAnsi="黑体" w:eastAsia="黑体" w:cs="黑体"/>
          <w:color w:val="000000"/>
          <w:sz w:val="28"/>
          <w:szCs w:val="28"/>
          <w:highlight w:val="none"/>
        </w:rPr>
        <w:t>文件送达方式</w:t>
      </w:r>
    </w:p>
    <w:p w14:paraId="1119FC2F">
      <w:pPr>
        <w:spacing w:line="560" w:lineRule="exact"/>
        <w:ind w:firstLine="560" w:firstLineChars="200"/>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（一）双方往来文件可采用直接送达和邮寄送达方式，均视为有效。</w:t>
      </w:r>
    </w:p>
    <w:p w14:paraId="015CA255">
      <w:pPr>
        <w:spacing w:line="560" w:lineRule="exact"/>
        <w:ind w:firstLine="560" w:firstLineChars="200"/>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（二）直接送达如拒绝签收的，送出方可将文件张贴在本合同约定的送达地址或接收方经营场所显眼位置处并拍照留存，视为在张贴之日送达。</w:t>
      </w:r>
    </w:p>
    <w:p w14:paraId="137F6E72">
      <w:pPr>
        <w:spacing w:line="560" w:lineRule="exact"/>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（三）邮寄送达如无人签收或拒绝签收的，以邮件物流信息显示的达到约定地址之日视为送达。</w:t>
      </w:r>
    </w:p>
    <w:p w14:paraId="03ECE752">
      <w:pPr>
        <w:pStyle w:val="3"/>
        <w:ind w:left="0" w:leftChars="0" w:firstLine="0" w:firstLineChars="0"/>
        <w:rPr>
          <w:rFonts w:hint="eastAsia"/>
          <w:highlight w:val="none"/>
        </w:rPr>
      </w:pPr>
    </w:p>
    <w:p w14:paraId="2B23E57D">
      <w:pPr>
        <w:spacing w:line="560" w:lineRule="exact"/>
        <w:ind w:firstLine="560" w:firstLineChars="200"/>
        <w:rPr>
          <w:rFonts w:hint="eastAsia" w:ascii="仿宋_GB2312" w:hAnsi="仿宋_GB2312" w:eastAsia="仿宋_GB2312" w:cs="仿宋_GB2312"/>
          <w:color w:val="000000"/>
          <w:sz w:val="28"/>
          <w:szCs w:val="28"/>
          <w:highlight w:val="none"/>
        </w:rPr>
      </w:pPr>
    </w:p>
    <w:p w14:paraId="7E33C995">
      <w:pPr>
        <w:spacing w:line="560" w:lineRule="exact"/>
        <w:ind w:firstLine="560" w:firstLineChars="200"/>
        <w:rPr>
          <w:rFonts w:hint="eastAsia" w:ascii="仿宋_GB2312" w:hAnsi="仿宋_GB2312" w:eastAsia="仿宋_GB2312" w:cs="仿宋_GB2312"/>
          <w:color w:val="000000"/>
          <w:sz w:val="28"/>
          <w:szCs w:val="28"/>
          <w:highlight w:val="none"/>
        </w:rPr>
      </w:pPr>
    </w:p>
    <w:p w14:paraId="08E6BB7A">
      <w:pPr>
        <w:rPr>
          <w:rFonts w:hint="eastAsia" w:ascii="仿宋_GB2312" w:hAnsi="仿宋_GB2312" w:eastAsia="仿宋_GB2312" w:cs="仿宋_GB2312"/>
          <w:color w:val="000000"/>
          <w:sz w:val="28"/>
          <w:szCs w:val="28"/>
          <w:highlight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FE0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First Indent 2"/>
    <w:basedOn w:val="2"/>
    <w:next w:val="1"/>
    <w:qFormat/>
    <w:uiPriority w:val="0"/>
    <w:pPr>
      <w:spacing w:line="360" w:lineRule="auto"/>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TotalTime>
  <ScaleCrop>false</ScaleCrop>
  <LinksUpToDate>false</LinksUpToDate>
  <CharactersWithSpaces>0</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2025-11-03T07:45:35Z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464FCA47E325401CAADA526A9F187925_12</vt:lpwstr>
  </property>
</Properties>
</file>